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2B" w:rsidRDefault="00E67A2B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E67A2B" w:rsidRDefault="00E67A2B">
      <w:pPr>
        <w:pStyle w:val="newncpi0"/>
        <w:jc w:val="center"/>
        <w:rPr>
          <w:color w:val="000000"/>
        </w:rPr>
      </w:pPr>
      <w:bookmarkStart w:id="0" w:name="a2"/>
      <w:bookmarkEnd w:id="0"/>
      <w:r>
        <w:rPr>
          <w:rStyle w:val="name"/>
          <w:color w:val="000000"/>
        </w:rPr>
        <w:t>РЕШЕНИЕ </w:t>
      </w:r>
      <w:r>
        <w:rPr>
          <w:rStyle w:val="promulgator"/>
          <w:color w:val="000000"/>
        </w:rPr>
        <w:t>ПРУЖАНСКОГО РАЙОННОГО ИСПОЛНИТЕЛЬНОГО КОМИТЕТА</w:t>
      </w:r>
    </w:p>
    <w:p w:rsidR="00E67A2B" w:rsidRDefault="00E67A2B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24 октября 2016 г.</w:t>
      </w:r>
      <w:r>
        <w:rPr>
          <w:rStyle w:val="number"/>
          <w:color w:val="000000"/>
        </w:rPr>
        <w:t xml:space="preserve"> № 2211</w:t>
      </w:r>
    </w:p>
    <w:p w:rsidR="00E67A2B" w:rsidRDefault="00E67A2B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Об учреждении ежегодной премии «</w:t>
      </w:r>
      <w:r>
        <w:rPr>
          <w:rStyle w:val="HTML"/>
          <w:rFonts w:ascii="Arial" w:hAnsi="Arial" w:cs="Arial"/>
          <w:shd w:val="clear" w:color="auto" w:fill="FFFFFF"/>
        </w:rPr>
        <w:t>Дарование</w:t>
      </w:r>
      <w:r>
        <w:rPr>
          <w:rFonts w:ascii="Arial" w:hAnsi="Arial" w:cs="Arial"/>
          <w:color w:val="000080"/>
        </w:rPr>
        <w:t>» Пружанского районного исполнительного комитета</w:t>
      </w:r>
    </w:p>
    <w:p w:rsidR="00E67A2B" w:rsidRDefault="00E67A2B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E67A2B" w:rsidRDefault="00E67A2B">
      <w:pPr>
        <w:pStyle w:val="changeadd"/>
        <w:rPr>
          <w:color w:val="000000"/>
        </w:rPr>
      </w:pPr>
      <w:r>
        <w:rPr>
          <w:color w:val="000000"/>
        </w:rPr>
        <w:t>Решение Пружанского районного исполнительного комитета от 8 ноября 2021 г. № 2099 (Национальный правовой Интернет-портал Республики Беларусь, 30.11.2021, 9/112178);</w:t>
      </w:r>
    </w:p>
    <w:p w:rsidR="00E67A2B" w:rsidRDefault="00E67A2B">
      <w:pPr>
        <w:pStyle w:val="changeadd"/>
        <w:rPr>
          <w:color w:val="000000"/>
        </w:rPr>
      </w:pPr>
      <w:r>
        <w:rPr>
          <w:color w:val="000000"/>
        </w:rPr>
        <w:t>Решение Пружанского районного исполнительного комитета от 10 октября 2022 г. № 1631 (Национальный правовой Интернет-портал Республики Беларусь, 28.10.2022, 9/118674)</w:t>
      </w:r>
    </w:p>
    <w:p w:rsidR="00E67A2B" w:rsidRDefault="00E67A2B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E67A2B" w:rsidRDefault="00E67A2B">
      <w:pPr>
        <w:pStyle w:val="preamble"/>
        <w:rPr>
          <w:color w:val="000000"/>
        </w:rPr>
      </w:pPr>
      <w:r>
        <w:rPr>
          <w:color w:val="000000"/>
        </w:rPr>
        <w:t>На основании пункта 1 статьи 40 Закона Республики Беларусь от 4 января 2010 г. № 108-З «О местном управлении и самоуправлении в Республике Беларусь» Пружанский районный исполнительный комитет РЕШИЛ:</w:t>
      </w:r>
    </w:p>
    <w:p w:rsidR="00E67A2B" w:rsidRDefault="00E67A2B">
      <w:pPr>
        <w:pStyle w:val="point"/>
        <w:rPr>
          <w:color w:val="000000"/>
        </w:rPr>
      </w:pPr>
      <w:r>
        <w:rPr>
          <w:color w:val="000000"/>
        </w:rPr>
        <w:t>1. Учредить ежегодную премию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 Пружанского районного исполнительного комитета.</w:t>
      </w:r>
    </w:p>
    <w:p w:rsidR="00E67A2B" w:rsidRDefault="00E67A2B">
      <w:pPr>
        <w:pStyle w:val="point"/>
        <w:rPr>
          <w:color w:val="000000"/>
        </w:rPr>
      </w:pPr>
      <w:r>
        <w:rPr>
          <w:color w:val="000000"/>
        </w:rPr>
        <w:t>2. Утвердить Инструкцию о порядке присуждения ежегодной премии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 Пружанского районного исполнительного комитета (прилагается).</w:t>
      </w:r>
    </w:p>
    <w:p w:rsidR="00E67A2B" w:rsidRDefault="00E67A2B">
      <w:pPr>
        <w:pStyle w:val="point"/>
        <w:rPr>
          <w:color w:val="000000"/>
        </w:rPr>
      </w:pPr>
      <w:r>
        <w:rPr>
          <w:color w:val="000000"/>
        </w:rPr>
        <w:t>3. Обнародовать (опубликовать) настоящее решение в газете «</w:t>
      </w:r>
      <w:proofErr w:type="spellStart"/>
      <w:r>
        <w:rPr>
          <w:color w:val="000000"/>
        </w:rPr>
        <w:t>Раённыя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будн</w:t>
      </w:r>
      <w:proofErr w:type="gramStart"/>
      <w:r>
        <w:rPr>
          <w:color w:val="000000"/>
        </w:rPr>
        <w:t>i</w:t>
      </w:r>
      <w:proofErr w:type="spellEnd"/>
      <w:proofErr w:type="gramEnd"/>
      <w:r>
        <w:rPr>
          <w:color w:val="000000"/>
        </w:rPr>
        <w:t>».</w:t>
      </w:r>
    </w:p>
    <w:p w:rsidR="00E67A2B" w:rsidRDefault="00E67A2B">
      <w:pPr>
        <w:pStyle w:val="point"/>
        <w:rPr>
          <w:color w:val="000000"/>
        </w:rPr>
      </w:pPr>
      <w:r>
        <w:rPr>
          <w:color w:val="000000"/>
        </w:rPr>
        <w:t>4. Настоящее решение вступает в силу после его официального опубликования.</w:t>
      </w:r>
    </w:p>
    <w:p w:rsidR="00E67A2B" w:rsidRDefault="00E67A2B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406"/>
        <w:gridCol w:w="5406"/>
      </w:tblGrid>
      <w:tr w:rsidR="00E67A2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67A2B" w:rsidRDefault="00E67A2B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Председатель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67A2B" w:rsidRDefault="00E67A2B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М.Н.Крейдич</w:t>
            </w:r>
            <w:proofErr w:type="spellEnd"/>
          </w:p>
        </w:tc>
      </w:tr>
      <w:tr w:rsidR="00E67A2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67A2B" w:rsidRDefault="00E67A2B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67A2B" w:rsidRDefault="00E67A2B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67A2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67A2B" w:rsidRDefault="00E67A2B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Управляющий делами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67A2B" w:rsidRDefault="00E67A2B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И.А.Валентюк</w:t>
            </w:r>
          </w:p>
        </w:tc>
      </w:tr>
    </w:tbl>
    <w:p w:rsidR="00E67A2B" w:rsidRDefault="00E67A2B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700"/>
        <w:gridCol w:w="3112"/>
      </w:tblGrid>
      <w:tr w:rsidR="00E67A2B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7A2B" w:rsidRDefault="00E67A2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7A2B" w:rsidRDefault="00E67A2B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E67A2B" w:rsidRDefault="00E67A2B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Решение </w:t>
            </w:r>
            <w:r>
              <w:rPr>
                <w:color w:val="000000"/>
              </w:rPr>
              <w:br/>
              <w:t>Пружанского районного</w:t>
            </w:r>
            <w:r>
              <w:rPr>
                <w:color w:val="000000"/>
              </w:rPr>
              <w:br/>
              <w:t>исполнительного комитета</w:t>
            </w:r>
            <w:r>
              <w:rPr>
                <w:color w:val="000000"/>
              </w:rPr>
              <w:br/>
              <w:t>24.10.2016 № 2211</w:t>
            </w:r>
            <w:r>
              <w:rPr>
                <w:color w:val="000000"/>
              </w:rPr>
              <w:br/>
              <w:t>(в редакции решения</w:t>
            </w:r>
            <w:r>
              <w:rPr>
                <w:color w:val="000000"/>
              </w:rPr>
              <w:br/>
              <w:t>Пружанского районного</w:t>
            </w:r>
            <w:r>
              <w:rPr>
                <w:color w:val="000000"/>
              </w:rPr>
              <w:br/>
              <w:t>исполнительного комитета</w:t>
            </w:r>
            <w:r>
              <w:rPr>
                <w:color w:val="000000"/>
              </w:rPr>
              <w:br/>
              <w:t xml:space="preserve">08.11.2021 № 2099) </w:t>
            </w:r>
          </w:p>
        </w:tc>
      </w:tr>
    </w:tbl>
    <w:p w:rsidR="00E67A2B" w:rsidRDefault="00E67A2B">
      <w:pPr>
        <w:pStyle w:val="titleu"/>
        <w:rPr>
          <w:color w:val="000000"/>
        </w:rPr>
      </w:pPr>
      <w:bookmarkStart w:id="1" w:name="a1"/>
      <w:bookmarkEnd w:id="1"/>
      <w:r>
        <w:rPr>
          <w:color w:val="000000"/>
        </w:rPr>
        <w:lastRenderedPageBreak/>
        <w:t>ИНСТРУКЦИЯ</w:t>
      </w:r>
      <w:r>
        <w:rPr>
          <w:color w:val="000000"/>
        </w:rPr>
        <w:br/>
        <w:t>о порядке присуждения ежегодной премии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 Пружанского районного исполнительного комитета</w:t>
      </w:r>
    </w:p>
    <w:p w:rsidR="00E67A2B" w:rsidRDefault="00E67A2B">
      <w:pPr>
        <w:pStyle w:val="point"/>
        <w:rPr>
          <w:color w:val="000000"/>
        </w:rPr>
      </w:pPr>
      <w:r>
        <w:rPr>
          <w:color w:val="000000"/>
        </w:rPr>
        <w:t>1. Настоящая Инструкция определяет порядок присуждения ежегодной премии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 Пружанского районного исполнительного комитета (далее – премия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»).</w:t>
      </w:r>
    </w:p>
    <w:p w:rsidR="00E67A2B" w:rsidRDefault="00E67A2B">
      <w:pPr>
        <w:pStyle w:val="point"/>
        <w:rPr>
          <w:color w:val="000000"/>
        </w:rPr>
      </w:pPr>
      <w:r>
        <w:rPr>
          <w:color w:val="000000"/>
        </w:rPr>
        <w:t>2. Премия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 учреждается в целях морального, материального стимулирования и социальной поддержки обучающихся учреждений образования Пружанского района.</w:t>
      </w:r>
    </w:p>
    <w:p w:rsidR="00E67A2B" w:rsidRDefault="00E67A2B">
      <w:pPr>
        <w:pStyle w:val="point"/>
        <w:rPr>
          <w:color w:val="000000"/>
        </w:rPr>
      </w:pPr>
      <w:r>
        <w:rPr>
          <w:color w:val="000000"/>
        </w:rPr>
        <w:t>3. Премия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 присуждается:</w:t>
      </w:r>
    </w:p>
    <w:p w:rsidR="00E67A2B" w:rsidRDefault="00E67A2B">
      <w:pPr>
        <w:pStyle w:val="underpoint"/>
        <w:rPr>
          <w:color w:val="000000"/>
        </w:rPr>
      </w:pPr>
      <w:r>
        <w:rPr>
          <w:color w:val="000000"/>
        </w:rPr>
        <w:t>3.1. в области образования – обучающимся (дуэтам обучающихся) и командам обучающихся (в составе 3 и более человек) учреждений дошкольного, общего среднего и специального образования, дополнительного образования детей и молодежи Пружанского района либо окончившим их в текущем году (далее, если не установлено иное, – учащиеся и команды учащихся учреждений образования);</w:t>
      </w:r>
    </w:p>
    <w:p w:rsidR="00E67A2B" w:rsidRDefault="00E67A2B">
      <w:pPr>
        <w:pStyle w:val="underpoint"/>
        <w:rPr>
          <w:color w:val="000000"/>
        </w:rPr>
      </w:pPr>
      <w:proofErr w:type="gramStart"/>
      <w:r>
        <w:rPr>
          <w:color w:val="000000"/>
        </w:rPr>
        <w:t>3.2. в области спорта – спортсменам-учащимся (дуэтам спортсменов-учащихся) и командам спортсменов-учащихся (в составе 3 и более человек) специализированных учебно-спортивных учреждений Пружанского района, учреждения «Брестская специализированная детско-юношеская школа олимпийского резерва профсоюзов», учреждения «Брестская специализированная детско-юношеская школа олимпийского резерва профсоюзов по видам борьбы», обучающимся в учреждениях образования Пружанского района либо окончившим их в текущем году (далее, если не установлено иное, – учащиеся и команды</w:t>
      </w:r>
      <w:proofErr w:type="gramEnd"/>
      <w:r>
        <w:rPr>
          <w:color w:val="000000"/>
        </w:rPr>
        <w:t xml:space="preserve"> учащихся учреждений спорта);</w:t>
      </w:r>
    </w:p>
    <w:p w:rsidR="00E67A2B" w:rsidRDefault="00E67A2B">
      <w:pPr>
        <w:pStyle w:val="underpoint"/>
        <w:rPr>
          <w:color w:val="000000"/>
        </w:rPr>
      </w:pPr>
      <w:proofErr w:type="gramStart"/>
      <w:r>
        <w:rPr>
          <w:color w:val="000000"/>
        </w:rPr>
        <w:t>3.3. в области культуры – отдельным исполнителям (дуэтам исполнителей) и участникам коллективов любительского творчества (трио, квартет, ансамбль, хор, оркестр и др.) учреждений дополнительного образования детей и молодежи и учреждений культуры Пружанского района, обучающимся в учреждениях образования Пружанского района либо окончившим их в текущем году (далее, если не установлено иное, – исполнители и участники коллективов любительского творчества учреждений культуры).</w:t>
      </w:r>
      <w:proofErr w:type="gramEnd"/>
    </w:p>
    <w:p w:rsidR="00E67A2B" w:rsidRDefault="00E67A2B">
      <w:pPr>
        <w:pStyle w:val="point"/>
        <w:rPr>
          <w:color w:val="000000"/>
        </w:rPr>
      </w:pPr>
      <w:bookmarkStart w:id="2" w:name="a5"/>
      <w:bookmarkEnd w:id="2"/>
      <w:r>
        <w:rPr>
          <w:color w:val="000000"/>
        </w:rPr>
        <w:t>4. Для получения премии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»:</w:t>
      </w:r>
    </w:p>
    <w:p w:rsidR="00E67A2B" w:rsidRDefault="00E67A2B">
      <w:pPr>
        <w:pStyle w:val="underpoint"/>
        <w:rPr>
          <w:color w:val="000000"/>
        </w:rPr>
      </w:pPr>
      <w:proofErr w:type="gramStart"/>
      <w:r>
        <w:rPr>
          <w:color w:val="000000"/>
        </w:rPr>
        <w:t>4.1. в области образования выдвигаются учащиеся и команды учащихся учреждений образования, ставшие победителями (призерами) научно-исследовательских конференций, олимпиад, интеллектуальных и творческих турниров, конкурсов, фестивалей, выставок художественного творчества, спортивно-массовых мероприятий, спортивных соревнований и иных интеллектуально-творческих состязаний на уровнях:</w:t>
      </w:r>
      <w:proofErr w:type="gramEnd"/>
    </w:p>
    <w:p w:rsidR="00E67A2B" w:rsidRDefault="00E67A2B">
      <w:pPr>
        <w:pStyle w:val="newncpi"/>
        <w:rPr>
          <w:color w:val="000000"/>
        </w:rPr>
      </w:pPr>
      <w:proofErr w:type="gramStart"/>
      <w:r>
        <w:rPr>
          <w:color w:val="000000"/>
        </w:rPr>
        <w:t>международном, в которых организаторами (учредителями) являются Министерство образования, министерства (департаменты) просвещения (образования и науки) иностранных государств, иные государственные органы Республики Беларусь и иностранных государств, государственные учреждения образования, общественные организации (ассоциации, объединения), а также проводимых при</w:t>
      </w:r>
      <w:proofErr w:type="gramEnd"/>
      <w:r>
        <w:rPr>
          <w:color w:val="000000"/>
        </w:rPr>
        <w:t xml:space="preserve"> поддержке государственных органов Республики Беларусь;</w:t>
      </w:r>
    </w:p>
    <w:p w:rsidR="00E67A2B" w:rsidRDefault="00E67A2B">
      <w:pPr>
        <w:pStyle w:val="newncpi"/>
        <w:rPr>
          <w:color w:val="000000"/>
        </w:rPr>
      </w:pPr>
      <w:proofErr w:type="gramStart"/>
      <w:r>
        <w:rPr>
          <w:color w:val="000000"/>
        </w:rPr>
        <w:t>республиканском, в которых организаторами (учредителями) являются Министерство образования, иные государственные органы Республики Беларусь, государственные учреждения образования, общественные организации (ассоциации, объединения), а также проводимых при поддержке государственных органов Республики Беларусь;</w:t>
      </w:r>
      <w:proofErr w:type="gramEnd"/>
    </w:p>
    <w:p w:rsidR="00E67A2B" w:rsidRDefault="00E67A2B">
      <w:pPr>
        <w:pStyle w:val="newncpi"/>
        <w:rPr>
          <w:color w:val="000000"/>
        </w:rPr>
      </w:pPr>
      <w:proofErr w:type="gramStart"/>
      <w:r>
        <w:rPr>
          <w:color w:val="000000"/>
        </w:rPr>
        <w:t>областном</w:t>
      </w:r>
      <w:proofErr w:type="gramEnd"/>
      <w:r>
        <w:rPr>
          <w:color w:val="000000"/>
        </w:rPr>
        <w:t>, в которых организаторами (учредителями) являются государственные органы и государственные учреждения образования Брестской области, общественные организации (ассоциации, объединения), а также проводимых при поддержке главного управления по образованию Брестского областного исполнительного комитета;</w:t>
      </w:r>
    </w:p>
    <w:p w:rsidR="00E67A2B" w:rsidRDefault="00E67A2B">
      <w:pPr>
        <w:pStyle w:val="underpoint"/>
        <w:rPr>
          <w:color w:val="000000"/>
        </w:rPr>
      </w:pPr>
      <w:r>
        <w:rPr>
          <w:color w:val="000000"/>
        </w:rPr>
        <w:lastRenderedPageBreak/>
        <w:t>4.2. в области спорта выдвигаются учащиеся и команды учащихся учреждений спорта, ставшие победителями (призерами) официальных спортивно-массовых мероприятий и спортивных соревнований на уровнях:</w:t>
      </w:r>
    </w:p>
    <w:p w:rsidR="00E67A2B" w:rsidRDefault="00E67A2B">
      <w:pPr>
        <w:pStyle w:val="newncpi"/>
        <w:rPr>
          <w:color w:val="000000"/>
        </w:rPr>
      </w:pPr>
      <w:proofErr w:type="gramStart"/>
      <w:r>
        <w:rPr>
          <w:color w:val="000000"/>
        </w:rPr>
        <w:t>международном и республиканском, в которых организаторами (учредителями) являются Министерство спорта и туризма и (или) Министерство образования, министерства спорта иностранных государств, иные государственные органы Республики Беларусь, общественные организации (ассоциации, объединения), а также проводимых при поддержке государственных органов Республики Беларусь;</w:t>
      </w:r>
      <w:proofErr w:type="gramEnd"/>
    </w:p>
    <w:p w:rsidR="00E67A2B" w:rsidRDefault="00E67A2B">
      <w:pPr>
        <w:pStyle w:val="newncpi"/>
        <w:rPr>
          <w:color w:val="000000"/>
        </w:rPr>
      </w:pPr>
      <w:proofErr w:type="gramStart"/>
      <w:r>
        <w:rPr>
          <w:color w:val="000000"/>
        </w:rPr>
        <w:t>областном</w:t>
      </w:r>
      <w:proofErr w:type="gramEnd"/>
      <w:r>
        <w:rPr>
          <w:color w:val="000000"/>
        </w:rPr>
        <w:t>, в которых организаторами (учредителями) являются управление спорта и туризма Брестского областного исполнительного комитета и (или) главное управление по образованию Брестского областного исполнительного комитета, общественные организации (ассоциации, объединения);</w:t>
      </w:r>
    </w:p>
    <w:p w:rsidR="00E67A2B" w:rsidRDefault="00E67A2B">
      <w:pPr>
        <w:pStyle w:val="underpoint"/>
        <w:rPr>
          <w:color w:val="000000"/>
        </w:rPr>
      </w:pPr>
      <w:r>
        <w:rPr>
          <w:color w:val="000000"/>
        </w:rPr>
        <w:t>4.3. в области культуры выдвигаются исполнители и участники коллективов любительского творчества учреждений культуры, ставшие победителями (призерами) фестивалей, конкурсов, выставок, пленэров, иных художественно-творческих состязаний на уровнях:</w:t>
      </w:r>
    </w:p>
    <w:p w:rsidR="00E67A2B" w:rsidRDefault="00E67A2B">
      <w:pPr>
        <w:pStyle w:val="newncpi"/>
        <w:rPr>
          <w:color w:val="000000"/>
        </w:rPr>
      </w:pPr>
      <w:proofErr w:type="gramStart"/>
      <w:r>
        <w:rPr>
          <w:color w:val="000000"/>
        </w:rPr>
        <w:t>международном, в которых организаторами (учредителями) являются Министерство культуры, министерства (департаменты) культуры и министерства просвещения (образования и науки) иностранных государств, иные государственные органы Республики Беларусь и иностранных государств, государственные учреждения образования и культуры, творческие общественные организации (ассоциации, объединения, союзы деятелей искусств), а также проводимых при поддержке государственных органов Республики Беларусь;</w:t>
      </w:r>
      <w:proofErr w:type="gramEnd"/>
    </w:p>
    <w:p w:rsidR="00E67A2B" w:rsidRDefault="00E67A2B">
      <w:pPr>
        <w:pStyle w:val="newncpi"/>
        <w:rPr>
          <w:color w:val="000000"/>
        </w:rPr>
      </w:pPr>
      <w:proofErr w:type="gramStart"/>
      <w:r>
        <w:rPr>
          <w:color w:val="000000"/>
        </w:rPr>
        <w:t>республиканском, в которых организаторами (учредителями) являются Министерство культуры, иные государственные органы Республики Беларусь, государственные учреждения образования и культуры, творческие общественные организации (ассоциации, объединения, союзы деятелей искусств), а также проводимых при поддержке государственных органов Республики Беларусь;</w:t>
      </w:r>
      <w:proofErr w:type="gramEnd"/>
    </w:p>
    <w:p w:rsidR="00E67A2B" w:rsidRDefault="00E67A2B">
      <w:pPr>
        <w:pStyle w:val="newncpi"/>
        <w:rPr>
          <w:color w:val="000000"/>
        </w:rPr>
      </w:pPr>
      <w:proofErr w:type="gramStart"/>
      <w:r>
        <w:rPr>
          <w:color w:val="000000"/>
        </w:rPr>
        <w:t>областном, в которых организаторами (учредителями) являются государственные органы и (или) государственные учреждения образования и культуры Республики Беларусь, творческие общественные организации (ассоциации, объединения, союзы деятелей искусств).</w:t>
      </w:r>
      <w:proofErr w:type="gramEnd"/>
    </w:p>
    <w:p w:rsidR="00E67A2B" w:rsidRDefault="00E67A2B">
      <w:pPr>
        <w:pStyle w:val="point"/>
        <w:rPr>
          <w:color w:val="000000"/>
        </w:rPr>
      </w:pPr>
      <w:bookmarkStart w:id="3" w:name="a3"/>
      <w:bookmarkEnd w:id="3"/>
      <w:r>
        <w:rPr>
          <w:color w:val="000000"/>
        </w:rPr>
        <w:t>5. </w:t>
      </w:r>
      <w:proofErr w:type="gramStart"/>
      <w:r>
        <w:rPr>
          <w:color w:val="000000"/>
        </w:rPr>
        <w:t>Выдвижение кандидатов на присуждение премии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 осуществляют учреждения дошкольного, общего среднего и специального образования, дополнительного образования детей и молодежи, специализированные учебно-спортивные учреждения Пружанского района, учреждение «Брестская специализированная детско-юношеская школа олимпийского резерва профсоюзов», учреждение «Брестская специализированная детско-юношеская школа олимпийского резерва профсоюзов по видам борьбы» и учреждения культуры Пружанского района, которые ежегодно до 20 декабря представляют в районную комиссию по отбору кандидатов</w:t>
      </w:r>
      <w:proofErr w:type="gramEnd"/>
      <w:r>
        <w:rPr>
          <w:color w:val="000000"/>
        </w:rPr>
        <w:t xml:space="preserve"> на присуждение премии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 (далее – районная комиссия):</w:t>
      </w:r>
    </w:p>
    <w:p w:rsidR="00E67A2B" w:rsidRDefault="00E67A2B">
      <w:pPr>
        <w:pStyle w:val="underpoint"/>
        <w:rPr>
          <w:color w:val="000000"/>
        </w:rPr>
      </w:pPr>
      <w:r>
        <w:rPr>
          <w:color w:val="000000"/>
        </w:rPr>
        <w:t>5.1. ходатайство на присуждение премии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»;</w:t>
      </w:r>
    </w:p>
    <w:p w:rsidR="00E67A2B" w:rsidRDefault="00E67A2B">
      <w:pPr>
        <w:pStyle w:val="underpoint"/>
        <w:rPr>
          <w:color w:val="000000"/>
        </w:rPr>
      </w:pPr>
      <w:proofErr w:type="gramStart"/>
      <w:r>
        <w:rPr>
          <w:color w:val="000000"/>
        </w:rPr>
        <w:t>5.2. информацию, в которой указываются фамилия, собственное имя, отчество (если таковое имеется), дата рождения кандидата на присуждение премии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», фамилия, собственное имя, отчество (если таковое имеется) законного представителя кандидата на присуждение премии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», сведения о педагогах, тренерах, руководителях коллективов любительского творчества, подготовивших кандидата на присуждение премии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», а также отражаются индивидуальные особенности, достижения кандидата на присуждение премии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»;</w:t>
      </w:r>
      <w:proofErr w:type="gramEnd"/>
    </w:p>
    <w:p w:rsidR="00E67A2B" w:rsidRDefault="00E67A2B">
      <w:pPr>
        <w:pStyle w:val="underpoint"/>
        <w:rPr>
          <w:color w:val="000000"/>
        </w:rPr>
      </w:pPr>
      <w:proofErr w:type="gramStart"/>
      <w:r>
        <w:rPr>
          <w:color w:val="000000"/>
        </w:rPr>
        <w:t xml:space="preserve">5.3. информацию, в которой указываются название команды учащихся учреждений образования, учащихся учреждений спорта или участников коллективов любительского творчества учреждений культуры, фамилия, собственное имя, отчество (если таковое имеется), дата рождения каждого члена </w:t>
      </w:r>
      <w:r>
        <w:rPr>
          <w:color w:val="000000"/>
        </w:rPr>
        <w:lastRenderedPageBreak/>
        <w:t>команды учащихся учреждений образования, учащихся учреждений спорта или участников коллективов любительского творчества учреждений культуры, фамилия, собственное имя, отчество (если таковое имеется) руководителя команды учащихся учреждений образования, учащихся учреждений спорта</w:t>
      </w:r>
      <w:proofErr w:type="gramEnd"/>
      <w:r>
        <w:rPr>
          <w:color w:val="000000"/>
        </w:rPr>
        <w:t xml:space="preserve"> или коллектива любительского творчества учреждений культуры;</w:t>
      </w:r>
    </w:p>
    <w:p w:rsidR="00E67A2B" w:rsidRDefault="00E67A2B">
      <w:pPr>
        <w:pStyle w:val="underpoint"/>
        <w:rPr>
          <w:color w:val="000000"/>
        </w:rPr>
      </w:pPr>
      <w:r>
        <w:rPr>
          <w:color w:val="000000"/>
        </w:rPr>
        <w:t>5.4. копию документа, подтверждающего победу учащегося и команды учащихся учреждений образования, учащегося и команды учащихся учреждений спорта, исполнителя и коллектива любительского творчества учреждений культуры (диплома, грамоты, приказа, протокола жюри, судей или иного официального документа).</w:t>
      </w:r>
    </w:p>
    <w:p w:rsidR="00E67A2B" w:rsidRDefault="00E67A2B">
      <w:pPr>
        <w:pStyle w:val="point"/>
        <w:rPr>
          <w:color w:val="000000"/>
        </w:rPr>
      </w:pPr>
      <w:r>
        <w:rPr>
          <w:color w:val="000000"/>
        </w:rPr>
        <w:t>6. Персональный состав районной комиссии устанавливается распоряжением председателя Пружанского районного исполнительного комитета (далее – райисполком) в количестве пяти человек.</w:t>
      </w:r>
    </w:p>
    <w:p w:rsidR="00E67A2B" w:rsidRDefault="00E67A2B">
      <w:pPr>
        <w:pStyle w:val="point"/>
        <w:rPr>
          <w:color w:val="000000"/>
        </w:rPr>
      </w:pPr>
      <w:r>
        <w:rPr>
          <w:color w:val="000000"/>
        </w:rPr>
        <w:t>7. Районная комиссия по результатам рассмотрения документов, указанных в пункте 5 настоящей Инструкции, до 25 декабря готовит проект решения о присуждении премии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 и вносит его на рассмотрение в райисполком.</w:t>
      </w:r>
    </w:p>
    <w:p w:rsidR="00E67A2B" w:rsidRDefault="00E67A2B">
      <w:pPr>
        <w:pStyle w:val="point"/>
        <w:rPr>
          <w:color w:val="000000"/>
        </w:rPr>
      </w:pPr>
      <w:r>
        <w:rPr>
          <w:color w:val="000000"/>
        </w:rPr>
        <w:t>8. Премия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 присуждается победителю (призеру) в следующих размерах:</w:t>
      </w:r>
    </w:p>
    <w:p w:rsidR="00E67A2B" w:rsidRDefault="00E67A2B">
      <w:pPr>
        <w:pStyle w:val="underpoint"/>
        <w:rPr>
          <w:color w:val="000000"/>
        </w:rPr>
      </w:pPr>
      <w:r>
        <w:rPr>
          <w:color w:val="000000"/>
        </w:rPr>
        <w:t>8.1. обучающемуся (дуэту обучающихся), спортсмену-учащемуся (дуэту спортсменов-учащихся), отдельному исполнителю (дуэту исполнителей):</w:t>
      </w:r>
    </w:p>
    <w:p w:rsidR="00E67A2B" w:rsidRDefault="00E67A2B">
      <w:pPr>
        <w:pStyle w:val="newncpi"/>
        <w:rPr>
          <w:color w:val="000000"/>
        </w:rPr>
      </w:pPr>
      <w:r>
        <w:rPr>
          <w:color w:val="000000"/>
        </w:rPr>
        <w:t>на международном уровне – 5 базовых величин;</w:t>
      </w:r>
    </w:p>
    <w:p w:rsidR="00E67A2B" w:rsidRDefault="00E67A2B">
      <w:pPr>
        <w:pStyle w:val="newncpi"/>
        <w:rPr>
          <w:color w:val="000000"/>
        </w:rPr>
      </w:pPr>
      <w:r>
        <w:rPr>
          <w:color w:val="000000"/>
        </w:rPr>
        <w:t>на республиканском уровне – 4 базовые величины;</w:t>
      </w:r>
    </w:p>
    <w:p w:rsidR="00E67A2B" w:rsidRDefault="00E67A2B">
      <w:pPr>
        <w:pStyle w:val="newncpi"/>
        <w:rPr>
          <w:color w:val="000000"/>
        </w:rPr>
      </w:pPr>
      <w:r>
        <w:rPr>
          <w:color w:val="000000"/>
        </w:rPr>
        <w:t>на областном уровне – 3 базовые величины;</w:t>
      </w:r>
    </w:p>
    <w:p w:rsidR="00E67A2B" w:rsidRDefault="00E67A2B">
      <w:pPr>
        <w:pStyle w:val="underpoint"/>
        <w:rPr>
          <w:color w:val="000000"/>
        </w:rPr>
      </w:pPr>
      <w:r>
        <w:rPr>
          <w:color w:val="000000"/>
        </w:rPr>
        <w:t>8.2. команде обучающихся (в составе 3 и более человек), команде спортсменов-учащихся (в составе 3 и более человек), коллективу любительского творчества (трио, квартет, ансамбль, хор, оркестр и др.):</w:t>
      </w:r>
    </w:p>
    <w:p w:rsidR="00E67A2B" w:rsidRDefault="00E67A2B">
      <w:pPr>
        <w:pStyle w:val="newncpi"/>
        <w:rPr>
          <w:color w:val="000000"/>
        </w:rPr>
      </w:pPr>
      <w:r>
        <w:rPr>
          <w:color w:val="000000"/>
        </w:rPr>
        <w:t>на международном уровне – 10 базовых величин;</w:t>
      </w:r>
    </w:p>
    <w:p w:rsidR="00E67A2B" w:rsidRDefault="00E67A2B">
      <w:pPr>
        <w:pStyle w:val="newncpi"/>
        <w:rPr>
          <w:color w:val="000000"/>
        </w:rPr>
      </w:pPr>
      <w:r>
        <w:rPr>
          <w:color w:val="000000"/>
        </w:rPr>
        <w:t>на республиканском уровне – 8 базовых величин;</w:t>
      </w:r>
    </w:p>
    <w:p w:rsidR="00E67A2B" w:rsidRDefault="00E67A2B">
      <w:pPr>
        <w:pStyle w:val="newncpi"/>
        <w:rPr>
          <w:color w:val="000000"/>
        </w:rPr>
      </w:pPr>
      <w:r>
        <w:rPr>
          <w:color w:val="000000"/>
        </w:rPr>
        <w:t>на областном уровне – 6 базовых величин.</w:t>
      </w:r>
    </w:p>
    <w:p w:rsidR="00E67A2B" w:rsidRDefault="00E67A2B">
      <w:pPr>
        <w:pStyle w:val="point"/>
        <w:rPr>
          <w:color w:val="000000"/>
        </w:rPr>
      </w:pPr>
      <w:r>
        <w:rPr>
          <w:color w:val="000000"/>
        </w:rPr>
        <w:t>9. Выплата премии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 осуществляется за счет средств районного бюджета.</w:t>
      </w:r>
    </w:p>
    <w:p w:rsidR="00E67A2B" w:rsidRDefault="00E67A2B">
      <w:pPr>
        <w:pStyle w:val="point"/>
        <w:rPr>
          <w:color w:val="000000"/>
        </w:rPr>
      </w:pPr>
      <w:r>
        <w:rPr>
          <w:color w:val="000000"/>
        </w:rPr>
        <w:t>10. Вручение премии «</w:t>
      </w:r>
      <w:r>
        <w:rPr>
          <w:rStyle w:val="HTML"/>
          <w:shd w:val="clear" w:color="auto" w:fill="FFFFFF"/>
        </w:rPr>
        <w:t>Дарование</w:t>
      </w:r>
      <w:r>
        <w:rPr>
          <w:color w:val="000000"/>
        </w:rPr>
        <w:t>» производится в торжественной обстановке председателем райисполкома или по его поручению заместителем председателя райисполкома.</w:t>
      </w:r>
    </w:p>
    <w:p w:rsidR="00E67A2B" w:rsidRDefault="00E67A2B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E67A2B" w:rsidSect="00E67A2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A2B"/>
    <w:rsid w:val="004F243E"/>
    <w:rsid w:val="006063F1"/>
    <w:rsid w:val="00E67409"/>
    <w:rsid w:val="00E6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E67A2B"/>
    <w:rPr>
      <w:color w:val="000000"/>
      <w:shd w:val="clear" w:color="auto" w:fill="FFFF00"/>
    </w:rPr>
  </w:style>
  <w:style w:type="paragraph" w:customStyle="1" w:styleId="title">
    <w:name w:val="title"/>
    <w:basedOn w:val="a"/>
    <w:rsid w:val="00E67A2B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rsid w:val="00E67A2B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E67A2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E67A2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E67A2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rsid w:val="00E67A2B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E67A2B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E67A2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E67A2B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E67A2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67A2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E67A2B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E67A2B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E67A2B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E67A2B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E67A2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E67A2B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1548</Words>
  <Characters>8825</Characters>
  <Application>Microsoft Office Word</Application>
  <DocSecurity>0</DocSecurity>
  <Lines>73</Lines>
  <Paragraphs>20</Paragraphs>
  <ScaleCrop>false</ScaleCrop>
  <Company>Grizli777</Company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М.М.</dc:creator>
  <cp:lastModifiedBy>k</cp:lastModifiedBy>
  <cp:revision>2</cp:revision>
  <dcterms:created xsi:type="dcterms:W3CDTF">2024-12-20T08:36:00Z</dcterms:created>
  <dcterms:modified xsi:type="dcterms:W3CDTF">2024-12-20T08:36:00Z</dcterms:modified>
</cp:coreProperties>
</file>