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5D" w:rsidRPr="00EF5BD5" w:rsidRDefault="00783C5D" w:rsidP="00783C5D">
      <w:pPr>
        <w:pStyle w:val="Heading1"/>
        <w:spacing w:before="1"/>
        <w:ind w:left="0" w:right="105" w:firstLine="709"/>
        <w:jc w:val="center"/>
        <w:rPr>
          <w:color w:val="242424"/>
        </w:rPr>
      </w:pPr>
    </w:p>
    <w:p w:rsidR="00673C47" w:rsidRPr="00EF5BD5" w:rsidRDefault="00783C5D" w:rsidP="00783C5D">
      <w:pPr>
        <w:pStyle w:val="Heading1"/>
        <w:spacing w:before="1"/>
        <w:ind w:left="0" w:right="105" w:firstLine="709"/>
        <w:jc w:val="center"/>
        <w:rPr>
          <w:lang w:val="ru-RU"/>
        </w:rPr>
      </w:pPr>
      <w:r>
        <w:rPr>
          <w:color w:val="242424"/>
        </w:rPr>
        <w:t>ID-карта – современный способ взаимодействия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налоговым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органом</w:t>
      </w:r>
    </w:p>
    <w:p w:rsidR="00673C47" w:rsidRDefault="00783C5D" w:rsidP="00783C5D">
      <w:pPr>
        <w:pStyle w:val="a3"/>
        <w:ind w:right="105" w:firstLine="709"/>
        <w:jc w:val="both"/>
      </w:pPr>
      <w:r>
        <w:t xml:space="preserve">С </w:t>
      </w:r>
      <w:r>
        <w:rPr>
          <w:color w:val="242424"/>
        </w:rPr>
        <w:t>1 июля 2024 года для всех индивидуальных предпринимателей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1"/>
        </w:rPr>
        <w:t>вводится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1"/>
        </w:rPr>
        <w:t>обязанность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1"/>
        </w:rPr>
        <w:t>по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1"/>
        </w:rPr>
        <w:t>предоставлению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налоговых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деклараций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(расчётов)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виде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электронного документа.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Таким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образом,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индивидуальным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предпринимателям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необходимо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получить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сертификат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открытого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ключа,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изданного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Государственной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системой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управления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открытыми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ключами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проверки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электронной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цифровой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подписи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Республики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Беларусь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(ГосСУОК).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Обращаем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внимание,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что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наличии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идентификационной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карты</w:t>
      </w:r>
      <w:r>
        <w:rPr>
          <w:color w:val="242424"/>
          <w:spacing w:val="-72"/>
        </w:rPr>
        <w:t xml:space="preserve"> </w:t>
      </w:r>
      <w:r>
        <w:rPr>
          <w:color w:val="242424"/>
          <w:spacing w:val="-1"/>
        </w:rPr>
        <w:t>(ID-карты)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1"/>
        </w:rPr>
        <w:t>индивидуальный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1"/>
        </w:rPr>
        <w:t>предприниматель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имеет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возможность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работать</w:t>
      </w:r>
      <w:r>
        <w:rPr>
          <w:color w:val="242424"/>
          <w:spacing w:val="-73"/>
        </w:rPr>
        <w:t xml:space="preserve"> </w:t>
      </w:r>
      <w:r>
        <w:rPr>
          <w:color w:val="242424"/>
        </w:rPr>
        <w:t>в личном кабинете плательщика и направлять различные документы без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дополнительного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использования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атрибутного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сертификата.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ID-карта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выдаётся гражданину сроком на 10 лет. Одновременно с её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выдачей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выпускается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сертификат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открытого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ключа на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тот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же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срок.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Для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авторизации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личном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кабинете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плательщика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использованием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ID-карты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потребуется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установить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настроить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программное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обеспечение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«Клиентская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программа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(КП)»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(приложение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NTClientSoftware).</w:t>
      </w:r>
    </w:p>
    <w:p w:rsidR="00673C47" w:rsidRDefault="00673C47">
      <w:pPr>
        <w:pStyle w:val="a3"/>
        <w:spacing w:before="2"/>
        <w:rPr>
          <w:sz w:val="40"/>
        </w:rPr>
      </w:pPr>
    </w:p>
    <w:sectPr w:rsidR="00673C47" w:rsidSect="00783C5D">
      <w:pgSz w:w="11910" w:h="16840"/>
      <w:pgMar w:top="480" w:right="460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3C47"/>
    <w:rsid w:val="005765F1"/>
    <w:rsid w:val="00673C47"/>
    <w:rsid w:val="00783C5D"/>
    <w:rsid w:val="00EB37DC"/>
    <w:rsid w:val="00E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3C4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3C47"/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673C47"/>
    <w:pPr>
      <w:ind w:left="1667" w:hanging="1787"/>
      <w:jc w:val="both"/>
      <w:outlineLvl w:val="1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673C47"/>
  </w:style>
  <w:style w:type="paragraph" w:customStyle="1" w:styleId="TableParagraph">
    <w:name w:val="Table Paragraph"/>
    <w:basedOn w:val="a"/>
    <w:uiPriority w:val="1"/>
    <w:qFormat/>
    <w:rsid w:val="00673C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 Курильчик  23 45 22</dc:title>
  <dc:creator>1-1 Савчук 23 11 37</dc:creator>
  <cp:lastModifiedBy>k</cp:lastModifiedBy>
  <cp:revision>2</cp:revision>
  <dcterms:created xsi:type="dcterms:W3CDTF">2024-06-19T08:33:00Z</dcterms:created>
  <dcterms:modified xsi:type="dcterms:W3CDTF">2024-06-19T08:33:00Z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2024-06-19T00:00:00Z</vt:filetime>
  </property>
</Properties>
</file>